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F10FDA" w:rsidP="00F85383">
            <w:pPr>
              <w:rPr>
                <w:szCs w:val="21"/>
              </w:rPr>
            </w:pPr>
            <w:r>
              <w:rPr>
                <w:rFonts w:hint="eastAsia"/>
                <w:szCs w:val="21"/>
              </w:rPr>
              <w:t>食肉市場電気設備</w:t>
            </w:r>
            <w:bookmarkStart w:id="0" w:name="_GoBack"/>
            <w:bookmarkEnd w:id="0"/>
            <w:r w:rsidR="00B766E6">
              <w:rPr>
                <w:rFonts w:hint="eastAsia"/>
                <w:szCs w:val="21"/>
              </w:rPr>
              <w:t>保守管理員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4EDC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2338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21D"/>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766E6"/>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10FDA"/>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FB90B6A"/>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C951-A574-4E3B-918D-9797DA4D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望月　亮助</cp:lastModifiedBy>
  <cp:revision>87</cp:revision>
  <cp:lastPrinted>2022-11-17T01:02:00Z</cp:lastPrinted>
  <dcterms:created xsi:type="dcterms:W3CDTF">2019-02-22T05:34:00Z</dcterms:created>
  <dcterms:modified xsi:type="dcterms:W3CDTF">2024-01-29T01:42:00Z</dcterms:modified>
</cp:coreProperties>
</file>